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4FD58" w14:textId="5D0A2E07" w:rsidR="006B793B" w:rsidRPr="00824206" w:rsidRDefault="006B793B" w:rsidP="00824206">
      <w:pPr>
        <w:rPr>
          <w:b/>
          <w:sz w:val="22"/>
          <w:szCs w:val="22"/>
        </w:rPr>
      </w:pPr>
      <w:r w:rsidRPr="00824206">
        <w:rPr>
          <w:b/>
          <w:sz w:val="22"/>
          <w:szCs w:val="22"/>
        </w:rPr>
        <w:t>Texto definitivo</w:t>
      </w:r>
      <w:r w:rsidR="00FE0333" w:rsidRPr="00824206">
        <w:rPr>
          <w:b/>
          <w:sz w:val="22"/>
          <w:szCs w:val="22"/>
        </w:rPr>
        <w:t xml:space="preserve"> del Proyecto de Acuerdo No. 711</w:t>
      </w:r>
      <w:r w:rsidRPr="00824206">
        <w:rPr>
          <w:b/>
          <w:sz w:val="22"/>
          <w:szCs w:val="22"/>
        </w:rPr>
        <w:t xml:space="preserve"> de 2025, aprobado en la sesión de la Comisión Segunda Permanente de Gobierno realizada el 30 de agosto de 2025 </w:t>
      </w:r>
    </w:p>
    <w:p w14:paraId="3F2FB70C" w14:textId="77777777" w:rsidR="006B793B" w:rsidRPr="00824206" w:rsidRDefault="006B793B" w:rsidP="006B793B">
      <w:pPr>
        <w:jc w:val="center"/>
        <w:rPr>
          <w:b/>
          <w:sz w:val="22"/>
          <w:szCs w:val="22"/>
        </w:rPr>
      </w:pPr>
    </w:p>
    <w:p w14:paraId="7A150072" w14:textId="7C533F4A" w:rsidR="00706F59" w:rsidRPr="00824206" w:rsidRDefault="003C0776" w:rsidP="006B793B">
      <w:pPr>
        <w:jc w:val="center"/>
        <w:rPr>
          <w:b/>
          <w:sz w:val="22"/>
          <w:szCs w:val="22"/>
        </w:rPr>
      </w:pPr>
      <w:r w:rsidRPr="00824206">
        <w:rPr>
          <w:b/>
          <w:sz w:val="22"/>
          <w:szCs w:val="22"/>
        </w:rPr>
        <w:t xml:space="preserve">PROYECTO DE ACUERDO </w:t>
      </w:r>
      <w:r w:rsidR="00FE0333" w:rsidRPr="00824206">
        <w:rPr>
          <w:b/>
          <w:sz w:val="22"/>
          <w:szCs w:val="22"/>
        </w:rPr>
        <w:t xml:space="preserve">No. </w:t>
      </w:r>
      <w:r w:rsidR="00706F59" w:rsidRPr="00824206">
        <w:rPr>
          <w:b/>
          <w:sz w:val="22"/>
          <w:szCs w:val="22"/>
        </w:rPr>
        <w:t>711</w:t>
      </w:r>
      <w:r w:rsidRPr="00824206">
        <w:rPr>
          <w:b/>
          <w:sz w:val="22"/>
          <w:szCs w:val="22"/>
        </w:rPr>
        <w:t xml:space="preserve"> DE 2025</w:t>
      </w:r>
    </w:p>
    <w:p w14:paraId="3C606867" w14:textId="32138BAD" w:rsidR="00706F59" w:rsidRPr="00824206" w:rsidRDefault="003C0776" w:rsidP="006B793B">
      <w:pPr>
        <w:jc w:val="center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i/>
          <w:iCs/>
          <w:color w:val="000000"/>
          <w:sz w:val="22"/>
          <w:szCs w:val="22"/>
          <w:lang w:val="es-US"/>
        </w:rPr>
        <w:br/>
      </w:r>
      <w:r w:rsidR="00706F59" w:rsidRPr="00824206">
        <w:rPr>
          <w:rFonts w:eastAsia="Times New Roman"/>
          <w:i/>
          <w:iCs/>
          <w:color w:val="000000"/>
          <w:sz w:val="22"/>
          <w:szCs w:val="22"/>
          <w:lang w:val="es-US"/>
        </w:rPr>
        <w:t>“POR EL CUAL SE ESTABLECEN DISPOSICIONES PARA LA IMPLEMENTACIÓN Y FORTALECIMIENTO DE LA ESTRATEGIA DE RACIONAMIENTO DE TRÁMITES EN EL DISTRITO CAPITAL Y SE DICTAN OTRAS DISPOSICIONES”</w:t>
      </w:r>
      <w:r w:rsidRPr="00824206">
        <w:rPr>
          <w:rFonts w:eastAsia="Times New Roman"/>
          <w:sz w:val="22"/>
          <w:szCs w:val="22"/>
          <w:lang w:val="es-US"/>
        </w:rPr>
        <w:br/>
      </w:r>
    </w:p>
    <w:p w14:paraId="1073F539" w14:textId="35A9A2B1" w:rsidR="00706F59" w:rsidRPr="00824206" w:rsidRDefault="00706F59" w:rsidP="006B793B">
      <w:pPr>
        <w:jc w:val="center"/>
        <w:rPr>
          <w:rFonts w:eastAsia="Times New Roman"/>
          <w:b/>
          <w:bCs/>
          <w:color w:val="000000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EL CONCEJO DE BOGOTÁ D.C.,</w:t>
      </w:r>
    </w:p>
    <w:p w14:paraId="47D33964" w14:textId="77777777" w:rsidR="006B793B" w:rsidRPr="00824206" w:rsidRDefault="006B793B" w:rsidP="006B793B">
      <w:pPr>
        <w:jc w:val="center"/>
        <w:rPr>
          <w:rFonts w:eastAsia="Times New Roman"/>
          <w:sz w:val="22"/>
          <w:szCs w:val="22"/>
          <w:lang w:val="es-US"/>
        </w:rPr>
      </w:pPr>
    </w:p>
    <w:p w14:paraId="54425BEC" w14:textId="1626173A" w:rsidR="00706F59" w:rsidRPr="00824206" w:rsidRDefault="00706F59" w:rsidP="006B793B">
      <w:pPr>
        <w:jc w:val="center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En ejercicio de sus atribuciones constitucionales y legales, en especial las que le confieren el artículo 12 de la Ley 1801 de 2016, y los numerales 1°, 8° y 18° del artículo 12 del Decreto Ley 1421 de 1993 </w:t>
      </w:r>
      <w:r w:rsidR="003C0776" w:rsidRPr="00824206">
        <w:rPr>
          <w:rFonts w:eastAsia="Times New Roman"/>
          <w:sz w:val="22"/>
          <w:szCs w:val="22"/>
          <w:lang w:val="es-US"/>
        </w:rPr>
        <w:br/>
      </w:r>
    </w:p>
    <w:p w14:paraId="6B8418E4" w14:textId="7B10238B" w:rsidR="00706F59" w:rsidRPr="00824206" w:rsidRDefault="00706F59" w:rsidP="006B793B">
      <w:pPr>
        <w:jc w:val="center"/>
        <w:rPr>
          <w:rFonts w:eastAsia="Times New Roman"/>
          <w:b/>
          <w:bCs/>
          <w:color w:val="000000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ACUERDA</w:t>
      </w:r>
      <w:r w:rsidR="00D45738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:</w:t>
      </w:r>
    </w:p>
    <w:p w14:paraId="07337A1F" w14:textId="77777777" w:rsidR="006B793B" w:rsidRPr="00824206" w:rsidRDefault="006B793B" w:rsidP="006B793B">
      <w:pPr>
        <w:jc w:val="center"/>
        <w:rPr>
          <w:rFonts w:eastAsia="Times New Roman"/>
          <w:sz w:val="22"/>
          <w:szCs w:val="22"/>
          <w:lang w:val="es-US"/>
        </w:rPr>
      </w:pPr>
    </w:p>
    <w:p w14:paraId="45BBC7FB" w14:textId="795604CC" w:rsidR="00706F59" w:rsidRPr="00824206" w:rsidRDefault="00706F59" w:rsidP="006B793B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1.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Objeto. 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El presente Acuerdo tiene por objeto establecer medidas, responsabilidades y lineamientos adicionales para la implementación, seguimiento y evaluación de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del Distrito Capital, como una medida integral orientada a simplificar, optimizar y modernizar los trámites y procedimientos administrativos, mejorar la experiencia ciudadana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y fortalecer la eficiencia institucional, en virtud de la Política Distrital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>.</w:t>
      </w:r>
    </w:p>
    <w:p w14:paraId="4FF3CA44" w14:textId="678BE6CD" w:rsidR="00706F59" w:rsidRPr="00824206" w:rsidRDefault="00706F59" w:rsidP="00706F59">
      <w:pPr>
        <w:spacing w:before="240" w:after="240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2.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Finalidad.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busca eliminar barreras innecesarias en la relación entre la ciudadanía y el Estado, facilitando el acceso a los derechos, el cumplimiento de deberes, el ejercicio de actividades económicas, y promoviendo una gestión pública centrada en el servicio, la agilidad, la innovación y la transparencia.</w:t>
      </w:r>
    </w:p>
    <w:p w14:paraId="56A363A0" w14:textId="0EAFAA82" w:rsidR="00706F59" w:rsidRPr="00824206" w:rsidRDefault="00706F59" w:rsidP="00706F59">
      <w:pPr>
        <w:spacing w:before="240" w:after="240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3.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Alcance.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Las disposiciones del presente Acuerdo aplican a todas las entidades y organismos de la Administración Distrital central y descentralizada que gestionen trámites, otros procedimientos administrativos u obligaciones de información a la ciudadanía, incluidas aquellas registradas en el Sistema Único de Información de Trámites – SUIT – administrado por el Departamento Administrativo de la Función Pública.</w:t>
      </w:r>
    </w:p>
    <w:p w14:paraId="5531D18F" w14:textId="39C649CC" w:rsidR="00706F59" w:rsidRPr="00824206" w:rsidRDefault="00706F59" w:rsidP="00706F59">
      <w:pPr>
        <w:spacing w:before="240" w:after="240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4.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Lineamientos de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.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del Distrito Capital deberá estructurarse con base en una serie de elementos mínimos que aseguren su carácter integral, progresivo y sostenible. Estos elementos permiten identificar, rediseñar y mejorar los procesos que afectan la experiencia de la ciudadanía y la eficiencia institucional. Son los siguientes:</w:t>
      </w:r>
    </w:p>
    <w:p w14:paraId="73412C05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a) Simplificación administrativa.</w:t>
      </w:r>
      <w:bookmarkStart w:id="0" w:name="_GoBack"/>
      <w:bookmarkEnd w:id="0"/>
    </w:p>
    <w:p w14:paraId="2642AA30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Consiste en la identificación y eliminación de requisitos, documentos, certificaciones o pasos innecesarios en los trámites y procedimientos administrativos, reduciendo la carga burocrática que recae sobre las personas naturales o jurídicas. Esta simplificación deberá basarse en principios de necesidad, legalidad, eficiencia y enfoque ciudadano.</w:t>
      </w:r>
    </w:p>
    <w:p w14:paraId="6687BC57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b) Estandarización de trámites y procesos.</w:t>
      </w:r>
    </w:p>
    <w:p w14:paraId="00514BB2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lastRenderedPageBreak/>
        <w:t>Se promoverá la creación de modelos homogéneos de trámites similares entre distintas entidades, unificando requisitos, formatos, tiempos de respuesta y canales de atención. La estandarización facilitará el acceso a los servicios públicos, reducirá la discrecionalidad administrativa y generará mayor seguridad jurídica.</w:t>
      </w:r>
    </w:p>
    <w:p w14:paraId="49D1A954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c) Eliminación de trámites obsoletos o redundantes.</w:t>
      </w:r>
    </w:p>
    <w:p w14:paraId="0B59E82B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La Estrategia deberá identificar y suprimir trámites o procedimientos que no tengan fundamento legal, hayan perdido vigencia, generen duplicidad funcional o puedan ser resueltos por medios alternativos. Esta acción contribuirá a depurar el inventario de trámites del Distrito y mejorar su pertinencia.</w:t>
      </w:r>
    </w:p>
    <w:p w14:paraId="132C63A9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d) Optimización institucional.</w:t>
      </w:r>
    </w:p>
    <w:p w14:paraId="28F7FA0D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Implica el rediseño de procesos internos, la mejora de flujos de trabajo y la articulación entre dependencias para lograr una atención más rápida, oportuna y efectiva. Las entidades deberán priorizar la eliminación de cuellos de botella, mejorar los canales de atención y aplicar herramientas de gestión de calidad.</w:t>
      </w:r>
    </w:p>
    <w:p w14:paraId="4C408C47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e) Automatización y digitalización.</w:t>
      </w:r>
    </w:p>
    <w:p w14:paraId="63526B8A" w14:textId="77777777" w:rsidR="00706F59" w:rsidRPr="00824206" w:rsidRDefault="00706F59" w:rsidP="00706F59">
      <w:pPr>
        <w:spacing w:before="240" w:after="240"/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La digitalización de los trámites deberá ser progresiva, segura e inclusiva. La automatización incluirá la implementación de tecnologías de información y comunicación (TIC) que permitan a los ciudadanos realizar trámites en línea, acceder a información sin barreras y recibir respuestas de forma oportuna. Se fomentará la interoperabilidad entre plataformas institucionales y el uso de datos abiertos para facilitar la trazabilidad y la rendición de cuentas.</w:t>
      </w:r>
    </w:p>
    <w:p w14:paraId="6BF46E9D" w14:textId="02C978CC" w:rsidR="00706F59" w:rsidRPr="00824206" w:rsidRDefault="00706F59" w:rsidP="00706F59">
      <w:pPr>
        <w:spacing w:before="240" w:after="240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5.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Coordinación Estrategia </w:t>
      </w:r>
      <w:proofErr w:type="spellStart"/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La Secretaría General será rectora y coordinadora de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del Distrito Capital, y tendrá la facultad de emitir lineamientos obligatorios, establecer metas anuales, efectuar seguimiento técnico, liderar procesos de formación y asistencia técnica y requerir información y acciones a las entidades y organismos distritales en pro del cumplimiento del presente Acuerdo.</w:t>
      </w:r>
    </w:p>
    <w:p w14:paraId="1B4462F1" w14:textId="04EE54A9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6.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Participación multisectorial.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La formulación, implementación y evaluación de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se desarrollará en articulación con representantes de la ciudadanía, los sectores empresariales, gremiales, académicos y sociales. La Administración Distrital garantizará espacios de participación y consulta periódica que permitan identificar barreras administrativas, normativas, tecnológicas, priorizar trámites para su intervención, recibir propuestas de mejora y legitimar los cambios introducidos.</w:t>
      </w:r>
    </w:p>
    <w:p w14:paraId="29946C3A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3E08BB25" w14:textId="57666A96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7.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Inclusión de las Inspecciones de Policía en la Estrategia </w:t>
      </w:r>
      <w:proofErr w:type="spellStart"/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La Secretaría Distrital de Gobierno, con el acompañamiento de la Secretaría General de la Alcaldía Mayor de Bogotá, adelantará un estudio orientado a identificar los mecanismos jurídicos, administrativos y tecnológicos que permitan la inclusión progresiva de las Inspecciones de Policía de Bogotá dentro de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del Distrito Capital.</w:t>
      </w:r>
    </w:p>
    <w:p w14:paraId="70005E9E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593ACDFB" w14:textId="77777777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Dicho estudio servirá como base para formular propuestas de simplificación y optimización de los procedimientos policivos, sin perjuicio de lo dispuesto en la Ley 1801 de 2016. </w:t>
      </w:r>
    </w:p>
    <w:p w14:paraId="3FFCF651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66825CFC" w14:textId="3741124C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8.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Seguimiento a la Estrategia </w:t>
      </w:r>
      <w:proofErr w:type="spellStart"/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El seguimiento de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se efectuará a través de las instancias de coordinación formalmente </w:t>
      </w:r>
      <w:r w:rsidRPr="00824206">
        <w:rPr>
          <w:rFonts w:eastAsia="Times New Roman"/>
          <w:color w:val="000000"/>
          <w:sz w:val="22"/>
          <w:szCs w:val="22"/>
          <w:lang w:val="es-US"/>
        </w:rPr>
        <w:lastRenderedPageBreak/>
        <w:t>constituidas. Para lo cual, la Administración Distrital analizará la viabilidad de ajustar o complementar las instancias de coordinación distrital existentes.</w:t>
      </w:r>
    </w:p>
    <w:p w14:paraId="32362E67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639EECBF" w14:textId="405988F4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9.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Informe anual de resultados.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La Secretaría General deberá presentar anualmente un informe ante el Concejo de Bogotá y la ciudadanía sobre los resultados alcanzados por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>. El informe deberá incluir, como mínimo:</w:t>
      </w:r>
    </w:p>
    <w:p w14:paraId="62ED5897" w14:textId="77777777" w:rsidR="00706F59" w:rsidRPr="00824206" w:rsidRDefault="00706F59" w:rsidP="00706F59">
      <w:pPr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- Número de trámites racionalizados, eliminados o automatizados.</w:t>
      </w:r>
    </w:p>
    <w:p w14:paraId="466C86B3" w14:textId="77777777" w:rsidR="00706F59" w:rsidRPr="00824206" w:rsidRDefault="00706F59" w:rsidP="00706F59">
      <w:pPr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- Reducción de tiempos, requisitos o costos asociados.</w:t>
      </w:r>
    </w:p>
    <w:p w14:paraId="4C7865CE" w14:textId="77777777" w:rsidR="00706F59" w:rsidRPr="00824206" w:rsidRDefault="00706F59" w:rsidP="00706F59">
      <w:pPr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- Impacto en la satisfacción ciudadana.</w:t>
      </w:r>
    </w:p>
    <w:p w14:paraId="41E67570" w14:textId="77777777" w:rsidR="00706F59" w:rsidRPr="00824206" w:rsidRDefault="00706F59" w:rsidP="00706F59">
      <w:pPr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- Participación de actores sociales y empresariales.</w:t>
      </w:r>
    </w:p>
    <w:p w14:paraId="41342F37" w14:textId="77777777" w:rsidR="00706F59" w:rsidRPr="00824206" w:rsidRDefault="00706F59" w:rsidP="00706F59">
      <w:pPr>
        <w:ind w:left="567"/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- Proyecciones para el siguiente año.</w:t>
      </w:r>
    </w:p>
    <w:p w14:paraId="0A042F8B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5DA0A3D0" w14:textId="77777777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Este informe deberá publicarse durante el primer trimestre de cada año en los canales oficiales del Distrito.</w:t>
      </w:r>
    </w:p>
    <w:p w14:paraId="76B944DE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3C93DE7A" w14:textId="0377369B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10.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Articulación normativa.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La implementación de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deberá armonizarse con la Ley 2052 de 2020, el Decreto 2106 de 2019, la Ley 1712 de 2014, el Acuerdo 937 de 2024 y las demás disposiciones nacionales y distritales relacionadas con simplificación administrativa, gobierno digital, y acceso a la información pública.</w:t>
      </w:r>
    </w:p>
    <w:p w14:paraId="0FCAC278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70932864" w14:textId="3D2D6A33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11.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Obligatoriedad de la Estrategia </w:t>
      </w:r>
      <w:proofErr w:type="spellStart"/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. 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Las entidades del Distrito Capital deberán cumplir de manera estricta con los lineamientos, metas y acciones definidas en el marco de la Estrategia </w:t>
      </w:r>
      <w:proofErr w:type="spellStart"/>
      <w:r w:rsidRPr="00824206">
        <w:rPr>
          <w:rFonts w:eastAsia="Times New Roman"/>
          <w:color w:val="000000"/>
          <w:sz w:val="22"/>
          <w:szCs w:val="22"/>
          <w:lang w:val="es-US"/>
        </w:rPr>
        <w:t>Antitrámites</w:t>
      </w:r>
      <w:proofErr w:type="spellEnd"/>
      <w:r w:rsidRPr="00824206">
        <w:rPr>
          <w:rFonts w:eastAsia="Times New Roman"/>
          <w:color w:val="000000"/>
          <w:sz w:val="22"/>
          <w:szCs w:val="22"/>
          <w:lang w:val="es-US"/>
        </w:rPr>
        <w:t>. Están obligadas a implementar las medidas de racionalización, reportar sus avances conforme a los plazos establecidos y atender los requerimientos de la Secretaría General. El incumplimiento de estas disposiciones dará lugar a las acciones administrativas, disciplinarias que correspondan.</w:t>
      </w:r>
    </w:p>
    <w:p w14:paraId="58818A60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7CA65D10" w14:textId="776165DE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12.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Viabilidad Técnica de trámites.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Con el fin de garantizar que las modificaciones, eliminación o creaciones de nuevos trámites cumplan con los principios de transparencia, integridad, eficiencia, eficacia, reserva legal, información y publicidad establecidos en la normativa vigente, y con el propósito de reducir y mitigar riesgos de corrupción, será obligatorio contar con un concepto de viabilidad técnica por parte de la Subsecretaría de Servicio a la Ciudadanía, de la Secretaría General de la Alcaldía Mayor de Bogotá, previo a la radicación del acto administrativo en la Secretaría Jurídica Distrital.</w:t>
      </w:r>
    </w:p>
    <w:p w14:paraId="154D2700" w14:textId="77777777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color w:val="000000"/>
          <w:sz w:val="22"/>
          <w:szCs w:val="22"/>
          <w:lang w:val="es-US"/>
        </w:rPr>
        <w:t>La Secretaría Jurídica Distrital deberá garantizar el cumplimiento de esta disposición en el trámite de expedición de los actos administrativos.</w:t>
      </w:r>
    </w:p>
    <w:p w14:paraId="4BDDEBF6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1BB228B7" w14:textId="37123F83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13.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Datos de operación de la oferta institucional.  </w:t>
      </w:r>
      <w:r w:rsidRPr="00824206">
        <w:rPr>
          <w:rFonts w:eastAsia="Times New Roman"/>
          <w:color w:val="000000"/>
          <w:sz w:val="22"/>
          <w:szCs w:val="22"/>
          <w:lang w:val="es-US"/>
        </w:rPr>
        <w:t>Las entidades y organismos del Distrito deberán reportar los datos de operación de la oferta institucional. Este reporte deberá evidenciar su uso y las mejoras implementadas en el marco de la estrategia de racionalización, sirviendo como insumo para la priorización e identificación de nuevas estrategias de optimización.</w:t>
      </w:r>
    </w:p>
    <w:p w14:paraId="1CD0C0FC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0F88487C" w14:textId="76BDAA1D" w:rsidR="00706F59" w:rsidRPr="00824206" w:rsidRDefault="00706F59" w:rsidP="00706F59">
      <w:pPr>
        <w:rPr>
          <w:rFonts w:eastAsia="Times New Roman"/>
          <w:sz w:val="22"/>
          <w:szCs w:val="22"/>
          <w:lang w:val="es-US"/>
        </w:rPr>
      </w:pP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Artículo 14.</w:t>
      </w:r>
      <w:r w:rsidR="008D4C05"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>-</w:t>
      </w:r>
      <w:r w:rsidRPr="00824206">
        <w:rPr>
          <w:rFonts w:eastAsia="Times New Roman"/>
          <w:b/>
          <w:bCs/>
          <w:color w:val="000000"/>
          <w:sz w:val="22"/>
          <w:szCs w:val="22"/>
          <w:lang w:val="es-US"/>
        </w:rPr>
        <w:t xml:space="preserve"> Vigencia.</w:t>
      </w:r>
      <w:r w:rsidRPr="00824206">
        <w:rPr>
          <w:rFonts w:eastAsia="Times New Roman"/>
          <w:color w:val="000000"/>
          <w:sz w:val="22"/>
          <w:szCs w:val="22"/>
          <w:lang w:val="es-US"/>
        </w:rPr>
        <w:t xml:space="preserve"> El presente Acuerdo rige a partir de la fecha de su publicación y deroga todas las disposiciones que le sean contrarias. </w:t>
      </w:r>
    </w:p>
    <w:p w14:paraId="7A5174B7" w14:textId="77777777" w:rsidR="00706F59" w:rsidRPr="00824206" w:rsidRDefault="00706F59" w:rsidP="00706F59">
      <w:pPr>
        <w:jc w:val="left"/>
        <w:rPr>
          <w:rFonts w:eastAsia="Times New Roman"/>
          <w:sz w:val="22"/>
          <w:szCs w:val="22"/>
          <w:lang w:val="es-US"/>
        </w:rPr>
      </w:pPr>
    </w:p>
    <w:p w14:paraId="22D6EB6F" w14:textId="77777777" w:rsidR="00877C0C" w:rsidRPr="00824206" w:rsidRDefault="00877C0C">
      <w:pPr>
        <w:rPr>
          <w:sz w:val="22"/>
          <w:szCs w:val="22"/>
          <w:highlight w:val="yellow"/>
        </w:rPr>
      </w:pPr>
    </w:p>
    <w:p w14:paraId="2A12B9E6" w14:textId="77777777" w:rsidR="00877C0C" w:rsidRPr="00824206" w:rsidRDefault="003C0776">
      <w:pPr>
        <w:jc w:val="center"/>
        <w:rPr>
          <w:b/>
          <w:sz w:val="22"/>
          <w:szCs w:val="22"/>
        </w:rPr>
      </w:pPr>
      <w:r w:rsidRPr="00824206">
        <w:rPr>
          <w:b/>
          <w:sz w:val="22"/>
          <w:szCs w:val="22"/>
        </w:rPr>
        <w:t>COMUNÍQUESE Y CÚMPLASE</w:t>
      </w:r>
    </w:p>
    <w:p w14:paraId="534D7B9A" w14:textId="6E447C0D" w:rsidR="00877C0C" w:rsidRPr="00824206" w:rsidRDefault="00877C0C" w:rsidP="008D4C05">
      <w:pPr>
        <w:rPr>
          <w:sz w:val="22"/>
          <w:szCs w:val="22"/>
        </w:rPr>
      </w:pPr>
      <w:bookmarkStart w:id="1" w:name="_heading=h.35nkun2" w:colFirst="0" w:colLast="0"/>
      <w:bookmarkEnd w:id="1"/>
    </w:p>
    <w:sectPr w:rsidR="00877C0C" w:rsidRPr="00824206" w:rsidSect="00824206">
      <w:footerReference w:type="default" r:id="rId9"/>
      <w:pgSz w:w="12242" w:h="15842"/>
      <w:pgMar w:top="851" w:right="1701" w:bottom="1701" w:left="1701" w:header="113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CC6B0" w14:textId="77777777" w:rsidR="00A7379A" w:rsidRDefault="00A7379A">
      <w:r>
        <w:separator/>
      </w:r>
    </w:p>
  </w:endnote>
  <w:endnote w:type="continuationSeparator" w:id="0">
    <w:p w14:paraId="3A10875A" w14:textId="77777777" w:rsidR="00A7379A" w:rsidRDefault="00A7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C18E0" w14:textId="3B6E93CF" w:rsidR="00877C0C" w:rsidRDefault="003C0776">
    <w:pPr>
      <w:jc w:val="center"/>
      <w:rPr>
        <w:sz w:val="16"/>
        <w:szCs w:val="16"/>
      </w:rPr>
    </w:pPr>
    <w:r>
      <w:rPr>
        <w:sz w:val="16"/>
        <w:szCs w:val="16"/>
      </w:rPr>
      <w:t xml:space="preserve">Página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D45738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NUMPAGES</w:instrText>
    </w:r>
    <w:r>
      <w:rPr>
        <w:sz w:val="16"/>
        <w:szCs w:val="16"/>
      </w:rPr>
      <w:fldChar w:fldCharType="separate"/>
    </w:r>
    <w:r w:rsidR="00D45738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  <w:p w14:paraId="4F0351AB" w14:textId="77777777" w:rsidR="00877C0C" w:rsidRDefault="00877C0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DE41F" w14:textId="77777777" w:rsidR="00A7379A" w:rsidRDefault="00A7379A">
      <w:r>
        <w:separator/>
      </w:r>
    </w:p>
  </w:footnote>
  <w:footnote w:type="continuationSeparator" w:id="0">
    <w:p w14:paraId="0F98CC88" w14:textId="77777777" w:rsidR="00A7379A" w:rsidRDefault="00A73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95B81"/>
    <w:multiLevelType w:val="hybridMultilevel"/>
    <w:tmpl w:val="67B4CAEA"/>
    <w:lvl w:ilvl="0" w:tplc="22B4B26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CC80D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D2DE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604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A48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A855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345B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4CCF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1C1E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995042"/>
    <w:multiLevelType w:val="hybridMultilevel"/>
    <w:tmpl w:val="609A65DC"/>
    <w:lvl w:ilvl="0" w:tplc="47AE2A7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B82C0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8EB2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AE47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984A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C285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4CE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127E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092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763E11"/>
    <w:multiLevelType w:val="hybridMultilevel"/>
    <w:tmpl w:val="B8B69F9C"/>
    <w:lvl w:ilvl="0" w:tplc="A90CA8A4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29CC7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F20E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405E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30AC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1EE9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E443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E844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C4B2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C85241"/>
    <w:multiLevelType w:val="hybridMultilevel"/>
    <w:tmpl w:val="7A14E284"/>
    <w:lvl w:ilvl="0" w:tplc="5C7C7188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8C256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4C1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E20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3A77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0C5D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72C2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E8CF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00E5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A15E10"/>
    <w:multiLevelType w:val="hybridMultilevel"/>
    <w:tmpl w:val="A4000BA6"/>
    <w:lvl w:ilvl="0" w:tplc="4CCC956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91A4B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52BD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447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8C3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5081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EA12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D4C7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CE6E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7C007D"/>
    <w:multiLevelType w:val="hybridMultilevel"/>
    <w:tmpl w:val="B5B68354"/>
    <w:lvl w:ilvl="0" w:tplc="A9E2B25A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79EE6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8C8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D23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1632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DEC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FC99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422F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32B7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83134C"/>
    <w:multiLevelType w:val="hybridMultilevel"/>
    <w:tmpl w:val="42865DF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D43D4"/>
    <w:multiLevelType w:val="multilevel"/>
    <w:tmpl w:val="D5A0F1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03485"/>
    <w:multiLevelType w:val="multilevel"/>
    <w:tmpl w:val="0C28A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F34FAC"/>
    <w:multiLevelType w:val="multilevel"/>
    <w:tmpl w:val="74C88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5E4F47"/>
    <w:multiLevelType w:val="hybridMultilevel"/>
    <w:tmpl w:val="2CE23F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F55DFA"/>
    <w:multiLevelType w:val="hybridMultilevel"/>
    <w:tmpl w:val="6B643A0C"/>
    <w:lvl w:ilvl="0" w:tplc="A83443F4">
      <w:start w:val="3"/>
      <w:numFmt w:val="upperLetter"/>
      <w:lvlText w:val="%1.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E4CB2"/>
    <w:multiLevelType w:val="hybridMultilevel"/>
    <w:tmpl w:val="FBE2C7B0"/>
    <w:lvl w:ilvl="0" w:tplc="44C474B6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13C36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BA08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0C45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1A24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CE10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3865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9ED2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66FD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9E1890"/>
    <w:multiLevelType w:val="hybridMultilevel"/>
    <w:tmpl w:val="2872EC70"/>
    <w:lvl w:ilvl="0" w:tplc="2BB6434E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1381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5AAA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52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62E0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FA25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1A03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046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9056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  <w:lvlOverride w:ilvl="0">
      <w:lvl w:ilvl="0">
        <w:numFmt w:val="lowerLetter"/>
        <w:lvlText w:val="%1."/>
        <w:lvlJc w:val="left"/>
      </w:lvl>
    </w:lvlOverride>
  </w:num>
  <w:num w:numId="3">
    <w:abstractNumId w:val="4"/>
  </w:num>
  <w:num w:numId="4">
    <w:abstractNumId w:val="12"/>
  </w:num>
  <w:num w:numId="5">
    <w:abstractNumId w:val="13"/>
  </w:num>
  <w:num w:numId="6">
    <w:abstractNumId w:val="5"/>
  </w:num>
  <w:num w:numId="7">
    <w:abstractNumId w:val="8"/>
    <w:lvlOverride w:ilvl="0">
      <w:lvl w:ilvl="0">
        <w:numFmt w:val="lowerLetter"/>
        <w:lvlText w:val="%1."/>
        <w:lvlJc w:val="left"/>
      </w:lvl>
    </w:lvlOverride>
  </w:num>
  <w:num w:numId="8">
    <w:abstractNumId w:val="1"/>
  </w:num>
  <w:num w:numId="9">
    <w:abstractNumId w:val="2"/>
  </w:num>
  <w:num w:numId="10">
    <w:abstractNumId w:val="0"/>
  </w:num>
  <w:num w:numId="11">
    <w:abstractNumId w:val="3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C0C"/>
    <w:rsid w:val="000246D0"/>
    <w:rsid w:val="00360C75"/>
    <w:rsid w:val="003C0776"/>
    <w:rsid w:val="00422F3F"/>
    <w:rsid w:val="004C5B93"/>
    <w:rsid w:val="005110BE"/>
    <w:rsid w:val="005A745B"/>
    <w:rsid w:val="006749A1"/>
    <w:rsid w:val="00683B91"/>
    <w:rsid w:val="006B4EDB"/>
    <w:rsid w:val="006B793B"/>
    <w:rsid w:val="00706F59"/>
    <w:rsid w:val="00824206"/>
    <w:rsid w:val="00877C0C"/>
    <w:rsid w:val="008D4C05"/>
    <w:rsid w:val="0092535E"/>
    <w:rsid w:val="00A7379A"/>
    <w:rsid w:val="00AC75C3"/>
    <w:rsid w:val="00CF31F7"/>
    <w:rsid w:val="00D45738"/>
    <w:rsid w:val="00D925E0"/>
    <w:rsid w:val="00DE42FF"/>
    <w:rsid w:val="00F44DA7"/>
    <w:rsid w:val="00FE0333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60D6E5"/>
  <w15:docId w15:val="{AD00DC58-4E28-4B42-A212-1804F4137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4"/>
        <w:szCs w:val="24"/>
        <w:lang w:val="es-ES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0B9D"/>
  </w:style>
  <w:style w:type="paragraph" w:styleId="Ttulo1">
    <w:name w:val="heading 1"/>
    <w:basedOn w:val="Normal"/>
    <w:next w:val="Normal"/>
    <w:uiPriority w:val="9"/>
    <w:qFormat/>
    <w:rsid w:val="00C70B9D"/>
    <w:pPr>
      <w:keepNext/>
      <w:keepLines/>
      <w:spacing w:before="480" w:after="120"/>
      <w:outlineLvl w:val="0"/>
    </w:pPr>
    <w:rPr>
      <w:b/>
      <w:sz w:val="22"/>
      <w:szCs w:val="48"/>
    </w:rPr>
  </w:style>
  <w:style w:type="paragraph" w:styleId="Ttulo2">
    <w:name w:val="heading 2"/>
    <w:basedOn w:val="Normal"/>
    <w:next w:val="Normal"/>
    <w:uiPriority w:val="9"/>
    <w:unhideWhenUsed/>
    <w:qFormat/>
    <w:rsid w:val="00C70B9D"/>
    <w:pPr>
      <w:keepNext/>
      <w:keepLines/>
      <w:spacing w:before="360" w:after="80"/>
      <w:outlineLvl w:val="1"/>
    </w:pPr>
    <w:rPr>
      <w:b/>
      <w:sz w:val="22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Prrafodelista">
    <w:name w:val="List Paragraph"/>
    <w:basedOn w:val="Normal"/>
    <w:uiPriority w:val="34"/>
    <w:qFormat/>
    <w:rsid w:val="00E91519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C9110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110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91102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C91102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91102"/>
  </w:style>
  <w:style w:type="paragraph" w:styleId="Piedepgina">
    <w:name w:val="footer"/>
    <w:basedOn w:val="Normal"/>
    <w:link w:val="PiedepginaCar"/>
    <w:uiPriority w:val="99"/>
    <w:unhideWhenUsed/>
    <w:rsid w:val="00C91102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91102"/>
  </w:style>
  <w:style w:type="paragraph" w:styleId="TtuloTDC">
    <w:name w:val="TOC Heading"/>
    <w:basedOn w:val="Ttulo1"/>
    <w:next w:val="Normal"/>
    <w:uiPriority w:val="39"/>
    <w:unhideWhenUsed/>
    <w:qFormat/>
    <w:rsid w:val="00C91102"/>
    <w:pPr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C91102"/>
    <w:pPr>
      <w:spacing w:before="120"/>
      <w:jc w:val="left"/>
    </w:pPr>
    <w:rPr>
      <w:rFonts w:asciiTheme="minorHAnsi" w:hAnsiTheme="minorHAnsi"/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unhideWhenUsed/>
    <w:rsid w:val="00C91102"/>
    <w:pPr>
      <w:spacing w:before="120"/>
      <w:ind w:left="240"/>
      <w:jc w:val="left"/>
    </w:pPr>
    <w:rPr>
      <w:rFonts w:asciiTheme="minorHAnsi" w:hAnsiTheme="minorHAnsi"/>
      <w:b/>
      <w:bCs/>
      <w:sz w:val="22"/>
      <w:szCs w:val="22"/>
    </w:rPr>
  </w:style>
  <w:style w:type="paragraph" w:styleId="TDC3">
    <w:name w:val="toc 3"/>
    <w:basedOn w:val="Normal"/>
    <w:next w:val="Normal"/>
    <w:autoRedefine/>
    <w:uiPriority w:val="39"/>
    <w:semiHidden/>
    <w:unhideWhenUsed/>
    <w:rsid w:val="00C91102"/>
    <w:pPr>
      <w:ind w:left="480"/>
      <w:jc w:val="left"/>
    </w:pPr>
    <w:rPr>
      <w:rFonts w:asciiTheme="minorHAnsi" w:hAnsi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C91102"/>
    <w:pPr>
      <w:ind w:left="720"/>
      <w:jc w:val="left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C91102"/>
    <w:pPr>
      <w:ind w:left="960"/>
      <w:jc w:val="left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C91102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C91102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C91102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C91102"/>
    <w:pPr>
      <w:ind w:left="1920"/>
      <w:jc w:val="left"/>
    </w:pPr>
    <w:rPr>
      <w:rFonts w:asciiTheme="minorHAnsi" w:hAnsiTheme="minorHAnsi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504102"/>
    <w:rPr>
      <w:color w:val="0000FF" w:themeColor="hyperlink"/>
      <w:u w:val="single"/>
    </w:rPr>
  </w:style>
  <w:style w:type="table" w:customStyle="1" w:styleId="a5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a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E42F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i5YLYFH8ZKEHnmXF768aIMjTaw==">CgMxLjAyCGguZ2pkZ3hzMgloLjMwajB6bGwyCWguMWZvYjl0ZTIJaC4zem55c2g3Mg5oLjZydDdmcTE3d3Q5cDIOaC54NGRrdm5kbDhuaTcyDmgucnphMzc1YXVkejQyMghoLnR5amN3dDIOaC5vejM2NWJjOG96bTYyCWguM2R5NnZrbTIJaC4xdDNoNXNmMgloLjJzOGV5bzEyCWguMTdkcDh2dTIJaC4zcmRjcmpuMgloLjI2aW4xcmcyCGgubG54Yno5MgloLjRkMzRvZzgyCWguMzVua3VuMjIJaC4xa3N2NHV2OAByITFyZkRFMFdOYmhNSksybTBUU2Q3VW1jYkFoQS11MG81c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EFB90D1-A8A1-47BC-A16B-DDD4C26B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1372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H.CONCEJAL CARLOS FERNANDO GALAN PACHON</dc:creator>
  <cp:lastModifiedBy>DAVID ANTONIO GARZON FANDIÑO</cp:lastModifiedBy>
  <cp:revision>2</cp:revision>
  <dcterms:created xsi:type="dcterms:W3CDTF">2025-09-02T19:55:00Z</dcterms:created>
  <dcterms:modified xsi:type="dcterms:W3CDTF">2025-09-02T19:55:00Z</dcterms:modified>
</cp:coreProperties>
</file>